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BC2" w:rsidRPr="00654822" w:rsidRDefault="007B348D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Указания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за представяне на информация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от ОССУ </w:t>
      </w:r>
      <w:r w:rsidR="0020123B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за дейността </w:t>
      </w:r>
      <w:r w:rsidR="00670BC2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им по определени показатели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съгласно изискванията на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IAF MD 15 </w:t>
      </w:r>
      <w:r w:rsidR="00096393"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:rsidR="00670BC2" w:rsidRPr="00654822" w:rsidRDefault="00670BC2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:rsidR="004C5A42" w:rsidRPr="00654822" w:rsidRDefault="004C5A42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да се следи за текущото изпълнение и за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добро планиране на оценките за надзор и преакредитация на органите по сертификация на системи за управление  и съгласно изискванията на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IAF MD 15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са определени показатели за изпълнение  на дейността на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ОССУ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4C5A42" w:rsidRPr="00654822" w:rsidRDefault="004C5A42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трябва да се представя от ОССУ до 03 януари всяка година, като събраните данни са за предходната година от 01 януари до 31 декември. Напр. ОССУ трябва да представят</w:t>
      </w:r>
      <w:r w:rsidR="00F91244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данни по посочените в таблица 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показатели до 03.01.20</w:t>
      </w:r>
      <w:r w:rsidR="009D07E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22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за дейността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която са извършили от 01.01.20</w:t>
      </w:r>
      <w:r w:rsidR="009D07E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г. до 31.12.20</w:t>
      </w:r>
      <w:r w:rsidR="009D07E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21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г. </w:t>
      </w:r>
    </w:p>
    <w:p w:rsidR="0020123B" w:rsidRPr="00654822" w:rsidRDefault="00D85BFA" w:rsidP="001726A9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по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показателите: </w:t>
      </w:r>
    </w:p>
    <w:p w:rsidR="005727B3" w:rsidRPr="00654822" w:rsidRDefault="00D85BFA" w:rsidP="006D62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 Брой на сертификатите под акредитация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валидни до края на декември, като преброяването трябва да става като се следват  правилата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:</w:t>
      </w:r>
    </w:p>
    <w:p w:rsidR="005727B3" w:rsidRPr="00654822" w:rsidRDefault="00D85BFA" w:rsidP="006D62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-  ако клиент притежава  валиден сертификат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една площадк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а/ местоположение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това се брои като един сертификат. </w:t>
      </w:r>
    </w:p>
    <w:p w:rsidR="005727B3" w:rsidRPr="00654822" w:rsidRDefault="005727B3" w:rsidP="006D62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- 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притежава един сертификат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който обхваща повече от една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площадка/ местоположение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брои като един сертификат, </w:t>
      </w:r>
    </w:p>
    <w:p w:rsidR="00D85BFA" w:rsidRPr="00654822" w:rsidRDefault="005727B3" w:rsidP="006D62E8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- 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ако за отделните местоположения на един клиент са издадени  отделни сертификати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брои</w:t>
      </w:r>
      <w:r w:rsidR="00D85BF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един издаден сертификат за местоположение.</w:t>
      </w:r>
    </w:p>
    <w:p w:rsidR="005727B3" w:rsidRPr="00654822" w:rsidRDefault="006D62E8" w:rsidP="006D62E8">
      <w:pPr>
        <w:pStyle w:val="ListParagraph"/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а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ко един клиент има сертифицирани няколко системи за управление и  е издаден един сертификат, тогава трябва да се броят сертификатите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като отделни за всяка система за управление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(ако е издаден сертифика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ISO 14001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, се броят по отделно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9001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 и един сертификат по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 xml:space="preserve">ISO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14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</w:rPr>
        <w:t>001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) </w:t>
      </w:r>
      <w:r w:rsidR="005727B3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20123B" w:rsidRPr="00654822" w:rsidRDefault="005727B3" w:rsidP="006D62E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валиден сертификат се счита този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който е във ва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лидност съгласно сключен договор (с активна или временно спряна сертификация). Отнети сертификати не се считат за валидни и не се броят. </w:t>
      </w:r>
    </w:p>
    <w:p w:rsidR="0020123B" w:rsidRPr="00654822" w:rsidRDefault="005727B3" w:rsidP="006D62E8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3.2 Брой одитори -  дава се информация за броя на одиторите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по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всеки стандарт </w:t>
      </w:r>
      <w:r w:rsidR="000B6C0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система за управление. </w:t>
      </w:r>
    </w:p>
    <w:p w:rsidR="0020123B" w:rsidRPr="00654822" w:rsidRDefault="000B6C0A" w:rsidP="0020123B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3.3 Брой приети трансфери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са извършени през отчетната година,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ава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 за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броя извършени трансфери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всяка ситема за управление по отделно. Ако е извършен трансфер на сертификат с няколко системи за управление, се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брои като сертификати по всяка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система 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за управление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 отделно.  </w:t>
      </w:r>
    </w:p>
    <w:p w:rsidR="000B6C0A" w:rsidRPr="00654822" w:rsidRDefault="000B6C0A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3.4 Брой просрочени одити</w:t>
      </w:r>
      <w:r w:rsidR="001726A9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за отчетния период. Просрочени одити са  тези, които не са били извършени в периода от време, както е посочено в процедурите на ОССУ.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дава се информация  за съответните системи за управление.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</w:p>
    <w:p w:rsidR="000B6C0A" w:rsidRPr="00654822" w:rsidRDefault="000B6C0A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3.5 Брой извършени  одитодни съгласно посоченото в IAF MD5 през отчетния период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по видове системи за управление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012F0E" w:rsidRPr="00654822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3.6 Държави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е издавал сертификати през отчетния период и съответния брой издадени сертификати. Дава се информация за всяка система за управление</w:t>
      </w:r>
    </w:p>
    <w:p w:rsidR="0039445F" w:rsidRPr="00654822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3.7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 за д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ържави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те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офис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 ключовите  дейности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които се извършват в офисите за съответната система за управление.</w:t>
      </w:r>
    </w:p>
    <w:p w:rsidR="0039445F" w:rsidRPr="00654822" w:rsidRDefault="00012F0E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3.8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Брой сертификати</w:t>
      </w:r>
      <w:r w:rsidR="00DF1293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издадени от всеки офис в друга държава</w:t>
      </w:r>
      <w:r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 за всяка  система за управление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39445F" w:rsidRPr="00654822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3.9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Държави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в които ОССУ има външен оценяващ персонал (одитори и технически експ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ти) и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съответният им 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брой 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(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оценяващ пер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о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нал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)</w:t>
      </w:r>
      <w:r w:rsidR="0039445F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по съответни система  за управление. </w:t>
      </w:r>
    </w:p>
    <w:p w:rsidR="0039445F" w:rsidRPr="00654822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3.10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нформация за акредитация от други национални органи за акредитаци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я на централния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или други офиси</w:t>
      </w: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,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собственост на ОССУ по системи за управление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</w:p>
    <w:p w:rsidR="002A088A" w:rsidRDefault="00DF1293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3.11</w:t>
      </w:r>
      <w:r w:rsidR="00012F0E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Б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рой на спрени  и отнети сертификати за отчетния период по </w:t>
      </w:r>
      <w:r w:rsidR="006D62E8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системи за управление </w:t>
      </w:r>
      <w:r w:rsidR="002A088A" w:rsidRPr="0065482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. </w:t>
      </w:r>
    </w:p>
    <w:p w:rsidR="006C1D88" w:rsidRDefault="006C1D88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:rsidR="006C1D88" w:rsidRDefault="006C1D88" w:rsidP="000B6C0A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bookmarkStart w:id="0" w:name="_GoBack"/>
      <w:bookmarkEnd w:id="0"/>
    </w:p>
    <w:p w:rsidR="00F91244" w:rsidRDefault="00F91244" w:rsidP="00F91244">
      <w:pPr>
        <w:spacing w:after="0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:rsidR="00654822" w:rsidRPr="00D27198" w:rsidRDefault="00654822" w:rsidP="00654822">
      <w:pPr>
        <w:spacing w:after="0"/>
        <w:jc w:val="center"/>
        <w:rPr>
          <w:b/>
          <w:sz w:val="28"/>
          <w:szCs w:val="28"/>
          <w:lang w:val="bg-BG"/>
        </w:rPr>
      </w:pPr>
      <w:proofErr w:type="gramStart"/>
      <w:r>
        <w:rPr>
          <w:b/>
          <w:sz w:val="28"/>
          <w:szCs w:val="28"/>
        </w:rPr>
        <w:t xml:space="preserve">ИНФОРМАЦИЯ </w:t>
      </w:r>
      <w:r w:rsidRPr="00D95D1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  <w:r w:rsidRPr="00D27198">
        <w:rPr>
          <w:b/>
          <w:sz w:val="28"/>
          <w:szCs w:val="28"/>
        </w:rPr>
        <w:t xml:space="preserve"> ПОКАЗАТЕЛИ ЗА </w:t>
      </w:r>
      <w:r>
        <w:rPr>
          <w:b/>
          <w:sz w:val="28"/>
          <w:szCs w:val="28"/>
        </w:rPr>
        <w:t>ИЗПЪЛНЕНИЕ  НА ДЕЙНОСТТА НА ОСС</w:t>
      </w:r>
      <w:r w:rsidRPr="00D27198">
        <w:rPr>
          <w:b/>
          <w:sz w:val="28"/>
          <w:szCs w:val="28"/>
        </w:rPr>
        <w:t>.</w:t>
      </w:r>
    </w:p>
    <w:tbl>
      <w:tblPr>
        <w:tblW w:w="10095" w:type="dxa"/>
        <w:tblInd w:w="93" w:type="dxa"/>
        <w:tblLook w:val="04A0" w:firstRow="1" w:lastRow="0" w:firstColumn="1" w:lastColumn="0" w:noHBand="0" w:noVBand="1"/>
      </w:tblPr>
      <w:tblGrid>
        <w:gridCol w:w="4065"/>
        <w:gridCol w:w="6030"/>
      </w:tblGrid>
      <w:tr w:rsidR="00654822" w:rsidRPr="009D07E3" w:rsidTr="004B7014">
        <w:trPr>
          <w:trHeight w:val="61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Орган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по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сертификация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системи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управление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:rsidTr="00654822">
        <w:trPr>
          <w:trHeight w:val="499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ОСС</w:t>
            </w:r>
            <w:r w:rsidR="00DF1293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, тел., е-</w:t>
            </w:r>
            <w:r w:rsidR="00DA53D5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D07E3" w:rsidRPr="009D07E3" w:rsidTr="00654822">
        <w:trPr>
          <w:trHeight w:val="445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07E3" w:rsidRPr="009D07E3" w:rsidRDefault="009D07E3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Заповед за акредитация №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7E3" w:rsidRPr="009D07E3" w:rsidRDefault="009D07E3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54822" w:rsidRPr="009D07E3" w:rsidTr="009D07E3">
        <w:trPr>
          <w:trHeight w:val="410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ОСС</w:t>
            </w:r>
            <w:r w:rsidR="009D07E3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654822" w:rsidRPr="009D07E3" w:rsidTr="009D07E3">
        <w:trPr>
          <w:trHeight w:val="416"/>
        </w:trPr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9D07E3" w:rsidP="009D07E3">
            <w:pPr>
              <w:spacing w:after="0" w:line="240" w:lineRule="auto"/>
              <w:ind w:right="-108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01.01.2021</w:t>
            </w:r>
            <w:r w:rsidR="00654822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 – 31.12.20</w:t>
            </w: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21</w:t>
            </w:r>
            <w:r w:rsidR="00654822" w:rsidRPr="009D07E3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г. </w:t>
            </w:r>
          </w:p>
        </w:tc>
      </w:tr>
    </w:tbl>
    <w:p w:rsidR="00654822" w:rsidRPr="00964CFB" w:rsidRDefault="00654822" w:rsidP="00654822">
      <w:pPr>
        <w:spacing w:after="0"/>
        <w:jc w:val="center"/>
        <w:rPr>
          <w:b/>
          <w:sz w:val="16"/>
          <w:szCs w:val="16"/>
        </w:rPr>
      </w:pPr>
    </w:p>
    <w:tbl>
      <w:tblPr>
        <w:tblW w:w="10725" w:type="dxa"/>
        <w:tblInd w:w="-697" w:type="dxa"/>
        <w:tblLayout w:type="fixed"/>
        <w:tblLook w:val="04A0" w:firstRow="1" w:lastRow="0" w:firstColumn="1" w:lastColumn="0" w:noHBand="0" w:noVBand="1"/>
      </w:tblPr>
      <w:tblGrid>
        <w:gridCol w:w="630"/>
        <w:gridCol w:w="2085"/>
        <w:gridCol w:w="1350"/>
        <w:gridCol w:w="1260"/>
        <w:gridCol w:w="1350"/>
        <w:gridCol w:w="1260"/>
        <w:gridCol w:w="1350"/>
        <w:gridCol w:w="1440"/>
      </w:tblGrid>
      <w:tr w:rsidR="00654822" w:rsidRPr="009D07E3" w:rsidTr="004B7014">
        <w:trPr>
          <w:trHeight w:val="76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СУ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9001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14001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BS OHSAS 18001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 22000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ISO/IEC 27001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Други</w:t>
            </w:r>
            <w:proofErr w:type="spellEnd"/>
            <w:r w:rsidRPr="009D07E3"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 xml:space="preserve"> СУ</w:t>
            </w:r>
          </w:p>
        </w:tc>
      </w:tr>
      <w:tr w:rsidR="00654822" w:rsidRPr="009D07E3" w:rsidTr="004B7014">
        <w:trPr>
          <w:trHeight w:val="71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сертификати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валидни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до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края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м.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декември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9D07E3">
        <w:trPr>
          <w:trHeight w:val="208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одитори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9D07E3">
        <w:trPr>
          <w:trHeight w:val="552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приети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трансфери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9D07E3">
        <w:trPr>
          <w:trHeight w:val="40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просрочени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9D07E3">
        <w:trPr>
          <w:trHeight w:val="395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Брой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извършени</w:t>
            </w:r>
            <w:proofErr w:type="spellEnd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одитодни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3.6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сертификати издадени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3.7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Офиси и ключови дейности в други държави*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3.8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Брой сертификати издадени от 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о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фис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и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 xml:space="preserve"> в друга държава</w:t>
            </w: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>*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9D07E3">
        <w:trPr>
          <w:trHeight w:val="543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3.9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</w:rPr>
              <w:t xml:space="preserve">Брой одитори в други държави*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  <w:tr w:rsidR="00654822" w:rsidRPr="009D07E3" w:rsidTr="004B7014">
        <w:trPr>
          <w:trHeight w:val="7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  <w:lang w:val="bg-BG"/>
              </w:rPr>
            </w:pPr>
            <w:r w:rsidRPr="009D07E3">
              <w:rPr>
                <w:rFonts w:ascii="Verdana" w:eastAsia="Times New Roman" w:hAnsi="Verdana" w:cs="Calibri"/>
                <w:bCs/>
                <w:color w:val="000000"/>
                <w:sz w:val="18"/>
                <w:szCs w:val="18"/>
              </w:rPr>
              <w:t>3.10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822" w:rsidRPr="009D07E3" w:rsidRDefault="00654822" w:rsidP="004B7014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 w:rsidRPr="009D07E3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bg-BG"/>
              </w:rPr>
              <w:t>Брой на спрени  и отнети сертификати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822" w:rsidRPr="009D07E3" w:rsidRDefault="00654822" w:rsidP="004B7014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8"/>
                <w:szCs w:val="18"/>
              </w:rPr>
            </w:pPr>
          </w:p>
        </w:tc>
      </w:tr>
    </w:tbl>
    <w:p w:rsidR="0020123B" w:rsidRDefault="00654822" w:rsidP="00F11F13">
      <w:pPr>
        <w:rPr>
          <w:rFonts w:ascii="Verdana" w:eastAsia="Times New Roman" w:hAnsi="Verdana" w:cs="Times New Roman"/>
          <w:i/>
          <w:noProof/>
          <w:sz w:val="20"/>
          <w:szCs w:val="20"/>
        </w:rPr>
      </w:pPr>
      <w:r>
        <w:rPr>
          <w:b/>
          <w:sz w:val="16"/>
          <w:szCs w:val="16"/>
        </w:rPr>
        <w:t>*</w:t>
      </w:r>
      <w:proofErr w:type="spellStart"/>
      <w:r w:rsidRPr="002C1535">
        <w:rPr>
          <w:b/>
          <w:sz w:val="16"/>
          <w:szCs w:val="16"/>
        </w:rPr>
        <w:t>Посочват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се</w:t>
      </w:r>
      <w:proofErr w:type="spellEnd"/>
      <w:r w:rsidRPr="002C1535">
        <w:rPr>
          <w:b/>
          <w:sz w:val="16"/>
          <w:szCs w:val="16"/>
        </w:rPr>
        <w:t xml:space="preserve"> </w:t>
      </w:r>
      <w:proofErr w:type="spellStart"/>
      <w:r w:rsidRPr="002C1535">
        <w:rPr>
          <w:b/>
          <w:sz w:val="16"/>
          <w:szCs w:val="16"/>
        </w:rPr>
        <w:t>държавите</w:t>
      </w:r>
      <w:proofErr w:type="spellEnd"/>
      <w:r w:rsidR="0020123B" w:rsidRPr="006D62E8">
        <w:rPr>
          <w:rFonts w:ascii="Verdana" w:eastAsia="Times New Roman" w:hAnsi="Verdana" w:cs="Times New Roman"/>
          <w:i/>
          <w:noProof/>
          <w:sz w:val="20"/>
          <w:szCs w:val="20"/>
        </w:rPr>
        <w:t xml:space="preserve"> </w:t>
      </w:r>
    </w:p>
    <w:p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Ръководител на ОССУ: …………………………………………………………….</w:t>
      </w:r>
    </w:p>
    <w:p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 xml:space="preserve">                                          </w:t>
      </w:r>
      <w:r w:rsidRPr="009D07E3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(име, фамилия, подпис , дата )</w:t>
      </w:r>
    </w:p>
    <w:p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</w:p>
    <w:p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>Представител на юридическото лице: …………………………………………………………….</w:t>
      </w:r>
    </w:p>
    <w:p w:rsid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  <w:r>
        <w:rPr>
          <w:rFonts w:ascii="Verdana" w:eastAsia="Times New Roman" w:hAnsi="Verdana" w:cs="Times New Roman"/>
          <w:i/>
          <w:noProof/>
          <w:sz w:val="20"/>
          <w:szCs w:val="20"/>
          <w:lang w:val="bg-BG"/>
        </w:rPr>
        <w:t xml:space="preserve">                                          </w:t>
      </w:r>
      <w:r w:rsidRPr="009D07E3"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  <w:t>(име, фамилия, подпис , дата )</w:t>
      </w:r>
    </w:p>
    <w:p w:rsidR="009D07E3" w:rsidRPr="009D07E3" w:rsidRDefault="009D07E3" w:rsidP="009D07E3">
      <w:pPr>
        <w:spacing w:after="0" w:line="240" w:lineRule="auto"/>
        <w:rPr>
          <w:rFonts w:ascii="Verdana" w:eastAsia="Times New Roman" w:hAnsi="Verdana" w:cs="Times New Roman"/>
          <w:i/>
          <w:noProof/>
          <w:sz w:val="18"/>
          <w:szCs w:val="18"/>
          <w:lang w:val="bg-BG"/>
        </w:rPr>
      </w:pPr>
    </w:p>
    <w:sectPr w:rsidR="009D07E3" w:rsidRPr="009D07E3" w:rsidSect="00654822">
      <w:headerReference w:type="default" r:id="rId8"/>
      <w:footerReference w:type="default" r:id="rId9"/>
      <w:pgSz w:w="12240" w:h="15840"/>
      <w:pgMar w:top="1417" w:right="1417" w:bottom="1417" w:left="1417" w:header="720" w:footer="5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6D" w:rsidRDefault="001B686D" w:rsidP="00654822">
      <w:pPr>
        <w:spacing w:after="0" w:line="240" w:lineRule="auto"/>
      </w:pPr>
      <w:r>
        <w:separator/>
      </w:r>
    </w:p>
  </w:endnote>
  <w:end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822" w:rsidRPr="00654822" w:rsidRDefault="00654822" w:rsidP="00654822">
    <w:pPr>
      <w:pStyle w:val="Footer"/>
      <w:tabs>
        <w:tab w:val="left" w:pos="13140"/>
        <w:tab w:val="right" w:pos="13320"/>
      </w:tabs>
      <w:ind w:left="6480" w:hanging="1418"/>
      <w:jc w:val="right"/>
      <w:rPr>
        <w:sz w:val="18"/>
        <w:szCs w:val="18"/>
      </w:rPr>
    </w:pP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Tahoma" w:hAnsi="Tahoma" w:cs="Tahoma"/>
        <w:bCs/>
        <w:iCs/>
        <w:sz w:val="18"/>
        <w:szCs w:val="18"/>
        <w:lang w:val="ru-RU"/>
      </w:rPr>
      <w:tab/>
    </w:r>
    <w:r w:rsidRPr="00654822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654822">
      <w:rPr>
        <w:rFonts w:ascii="Verdana" w:hAnsi="Verdana" w:cs="Tahoma"/>
        <w:bCs/>
        <w:iCs/>
        <w:sz w:val="18"/>
        <w:szCs w:val="18"/>
        <w:lang w:val="ru-RU"/>
      </w:rPr>
      <w:t>: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</w:t>
    </w:r>
    <w:r>
      <w:rPr>
        <w:rFonts w:ascii="Verdana" w:hAnsi="Verdana" w:cs="Tahoma"/>
        <w:bCs/>
        <w:iCs/>
        <w:sz w:val="18"/>
        <w:szCs w:val="18"/>
        <w:lang w:val="be-BY"/>
      </w:rPr>
      <w:t>1</w:t>
    </w:r>
    <w:r w:rsidR="009D07E3">
      <w:rPr>
        <w:rFonts w:ascii="Verdana" w:hAnsi="Verdana" w:cs="Tahoma"/>
        <w:bCs/>
        <w:iCs/>
        <w:sz w:val="18"/>
        <w:szCs w:val="18"/>
        <w:lang w:val="be-BY"/>
      </w:rPr>
      <w:t xml:space="preserve">, рев. 1 </w:t>
    </w:r>
    <w:r w:rsidRPr="00654822">
      <w:rPr>
        <w:rFonts w:ascii="Verdana" w:hAnsi="Verdana" w:cs="Tahoma"/>
        <w:bCs/>
        <w:iCs/>
        <w:sz w:val="18"/>
        <w:szCs w:val="18"/>
        <w:lang w:val="be-BY"/>
      </w:rPr>
      <w:t xml:space="preserve"> Дата</w:t>
    </w:r>
    <w:r w:rsidRPr="00654822">
      <w:rPr>
        <w:rFonts w:ascii="Verdana" w:hAnsi="Verdana" w:cs="Tahoma"/>
        <w:bCs/>
        <w:iCs/>
        <w:sz w:val="18"/>
        <w:szCs w:val="18"/>
      </w:rPr>
      <w:t>:</w:t>
    </w:r>
    <w:r w:rsidR="009D07E3">
      <w:rPr>
        <w:rFonts w:ascii="Verdana" w:hAnsi="Verdana" w:cs="Tahoma"/>
        <w:bCs/>
        <w:iCs/>
        <w:sz w:val="18"/>
        <w:szCs w:val="18"/>
        <w:lang w:val="bg-BG"/>
      </w:rPr>
      <w:t>10.12.2021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6D" w:rsidRDefault="001B686D" w:rsidP="00654822">
      <w:pPr>
        <w:spacing w:after="0" w:line="240" w:lineRule="auto"/>
      </w:pPr>
      <w:r>
        <w:separator/>
      </w:r>
    </w:p>
  </w:footnote>
  <w:footnote w:type="continuationSeparator" w:id="0">
    <w:p w:rsidR="001B686D" w:rsidRDefault="001B686D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293" w:rsidRPr="0038199C" w:rsidRDefault="00DF1293" w:rsidP="0038199C">
    <w:pPr>
      <w:keepNext/>
      <w:widowControl w:val="0"/>
      <w:autoSpaceDE w:val="0"/>
      <w:autoSpaceDN w:val="0"/>
      <w:adjustRightInd w:val="0"/>
      <w:spacing w:after="0" w:line="240" w:lineRule="auto"/>
      <w:ind w:left="4536"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38199C">
      <w:rPr>
        <w:rFonts w:ascii="Verdana" w:eastAsia="Times New Roman" w:hAnsi="Verdana" w:cs="Times New Roman"/>
        <w:b/>
        <w:bCs/>
        <w:sz w:val="20"/>
        <w:szCs w:val="20"/>
      </w:rPr>
      <w:t xml:space="preserve"> </w:t>
    </w:r>
    <w:r w:rsidR="0038199C">
      <w:rPr>
        <w:rFonts w:ascii="Verdana" w:eastAsia="Times New Roman" w:hAnsi="Verdana" w:cs="Times New Roman"/>
        <w:b/>
        <w:bCs/>
        <w:sz w:val="20"/>
        <w:szCs w:val="20"/>
        <w:lang w:val="bg-BG"/>
      </w:rPr>
      <w:t>( ОССУ)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12F0E"/>
    <w:rsid w:val="000747C3"/>
    <w:rsid w:val="00096393"/>
    <w:rsid w:val="000B6C0A"/>
    <w:rsid w:val="001726A9"/>
    <w:rsid w:val="001B686D"/>
    <w:rsid w:val="001E2719"/>
    <w:rsid w:val="0020123B"/>
    <w:rsid w:val="002A088A"/>
    <w:rsid w:val="002C39B8"/>
    <w:rsid w:val="0038199C"/>
    <w:rsid w:val="0039445F"/>
    <w:rsid w:val="004C5A42"/>
    <w:rsid w:val="005727B3"/>
    <w:rsid w:val="005C4E4A"/>
    <w:rsid w:val="005F044D"/>
    <w:rsid w:val="005F628C"/>
    <w:rsid w:val="00654822"/>
    <w:rsid w:val="00670BC2"/>
    <w:rsid w:val="006C0E4B"/>
    <w:rsid w:val="006C1D88"/>
    <w:rsid w:val="006D62E8"/>
    <w:rsid w:val="007B348D"/>
    <w:rsid w:val="00875C3D"/>
    <w:rsid w:val="009D07E3"/>
    <w:rsid w:val="009D7C4E"/>
    <w:rsid w:val="009F5E32"/>
    <w:rsid w:val="00A95065"/>
    <w:rsid w:val="00D85BFA"/>
    <w:rsid w:val="00DA53D5"/>
    <w:rsid w:val="00DF1293"/>
    <w:rsid w:val="00E63DED"/>
    <w:rsid w:val="00F11F13"/>
    <w:rsid w:val="00F9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0489499"/>
  <w15:docId w15:val="{E4E88B5D-1A22-4BE9-BEB4-4E3E3C75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7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4DB5F-DA56-496B-B604-7F802D52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3</cp:revision>
  <cp:lastPrinted>2016-08-25T12:28:00Z</cp:lastPrinted>
  <dcterms:created xsi:type="dcterms:W3CDTF">2021-12-17T13:56:00Z</dcterms:created>
  <dcterms:modified xsi:type="dcterms:W3CDTF">2021-12-17T13:56:00Z</dcterms:modified>
</cp:coreProperties>
</file>